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7B2333F1">
                <wp:simplePos x="0" y="0"/>
                <wp:positionH relativeFrom="column">
                  <wp:posOffset>4779010</wp:posOffset>
                </wp:positionH>
                <wp:positionV relativeFrom="paragraph">
                  <wp:posOffset>80010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6A729877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7C40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CB7B5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BE3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6.3pt;margin-top:6.3pt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">
                <v:textbox>
                  <w:txbxContent>
                    <w:p w14:paraId="46CBFF7E" w14:textId="6A729877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7C40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CB7B5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60BE3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49500364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08460BC2" w:rsidR="00D935A6" w:rsidRPr="005C42F5" w:rsidRDefault="0074756C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B34383" wp14:editId="225D1411">
                <wp:simplePos x="0" y="0"/>
                <wp:positionH relativeFrom="column">
                  <wp:posOffset>4307840</wp:posOffset>
                </wp:positionH>
                <wp:positionV relativeFrom="paragraph">
                  <wp:posOffset>52070</wp:posOffset>
                </wp:positionV>
                <wp:extent cx="1870075" cy="666750"/>
                <wp:effectExtent l="0" t="0" r="158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E2F" w14:textId="77777777" w:rsidR="00FB14BB" w:rsidRDefault="00FB14BB" w:rsidP="00FB14BB">
                            <w:r>
                              <w:t>Samantha Wilkinson</w:t>
                            </w:r>
                          </w:p>
                          <w:p w14:paraId="3D7C9C1D" w14:textId="77777777" w:rsidR="00FB14BB" w:rsidRDefault="00FB14BB" w:rsidP="00FB14BB">
                            <w:r>
                              <w:t>Police &amp; Crime Panel Officer</w:t>
                            </w:r>
                          </w:p>
                          <w:p w14:paraId="707DD29C" w14:textId="77777777" w:rsidR="00FB14BB" w:rsidRPr="00807E38" w:rsidRDefault="00FB14BB" w:rsidP="00FB14BB">
                            <w:r>
                              <w:t xml:space="preserve">07920 833358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4383" id="Text Box 4" o:spid="_x0000_s1027" type="#_x0000_t202" style="position:absolute;margin-left:339.2pt;margin-top:4.1pt;width:147.2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">
                <v:textbox>
                  <w:txbxContent>
                    <w:p w14:paraId="49542E2F" w14:textId="77777777" w:rsidR="00FB14BB" w:rsidRDefault="00FB14BB" w:rsidP="00FB14BB">
                      <w:r>
                        <w:t>Samantha Wilkinson</w:t>
                      </w:r>
                    </w:p>
                    <w:p w14:paraId="3D7C9C1D" w14:textId="77777777" w:rsidR="00FB14BB" w:rsidRDefault="00FB14BB" w:rsidP="00FB14BB">
                      <w:r>
                        <w:t>Police &amp; Crime Panel Officer</w:t>
                      </w:r>
                    </w:p>
                    <w:p w14:paraId="707DD29C" w14:textId="77777777" w:rsidR="00FB14BB" w:rsidRPr="00807E38" w:rsidRDefault="00FB14BB" w:rsidP="00FB14BB">
                      <w:r>
                        <w:t xml:space="preserve">07920 833358 </w:t>
                      </w:r>
                    </w:p>
                  </w:txbxContent>
                </v:textbox>
              </v:shape>
            </w:pict>
          </mc:Fallback>
        </mc:AlternateContent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8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13</w:t>
      </w:r>
      <w:r w:rsidR="00D0410E" w:rsidRPr="00D0410E">
        <w:rPr>
          <w:b/>
          <w:sz w:val="28"/>
          <w:szCs w:val="28"/>
          <w:vertAlign w:val="superscript"/>
        </w:rPr>
        <w:t>th</w:t>
      </w:r>
      <w:r w:rsidR="00D0410E">
        <w:rPr>
          <w:b/>
          <w:sz w:val="28"/>
          <w:szCs w:val="28"/>
        </w:rPr>
        <w:t xml:space="preserve"> December</w:t>
      </w:r>
      <w:r w:rsidR="00220282">
        <w:rPr>
          <w:b/>
          <w:sz w:val="28"/>
          <w:szCs w:val="28"/>
        </w:rPr>
        <w:t xml:space="preserve"> </w:t>
      </w:r>
      <w:r w:rsidR="000119F6" w:rsidRPr="005C42F5">
        <w:rPr>
          <w:b/>
          <w:sz w:val="28"/>
          <w:szCs w:val="28"/>
        </w:rPr>
        <w:t>202</w:t>
      </w:r>
      <w:r w:rsidR="00213371" w:rsidRPr="005C42F5">
        <w:rPr>
          <w:b/>
          <w:sz w:val="28"/>
          <w:szCs w:val="28"/>
        </w:rPr>
        <w:t>4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52A09E60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The Old</w:t>
      </w:r>
      <w:r w:rsidR="00733394" w:rsidRPr="005C42F5">
        <w:rPr>
          <w:b/>
          <w:sz w:val="28"/>
          <w:szCs w:val="28"/>
        </w:rPr>
        <w:t xml:space="preserve">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9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Gf2QnY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30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Pr="005C42F5" w:rsidRDefault="00C64E17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058474C5" w14:textId="24E91C93" w:rsidR="00335D3D" w:rsidRPr="00F13F0E" w:rsidRDefault="009B287F" w:rsidP="00335D3D">
      <w:pPr>
        <w:ind w:left="720" w:right="-329" w:hanging="720"/>
        <w:rPr>
          <w:highlight w:val="yellow"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 8</w:t>
      </w:r>
      <w:r w:rsidR="00335D3D" w:rsidRPr="00F13F0E">
        <w:rPr>
          <w:bCs/>
          <w:vertAlign w:val="superscript"/>
        </w:rPr>
        <w:t>th</w:t>
      </w:r>
      <w:r w:rsidR="00335D3D" w:rsidRPr="00F13F0E">
        <w:rPr>
          <w:bCs/>
        </w:rPr>
        <w:t xml:space="preserve"> November 2024.  </w:t>
      </w:r>
    </w:p>
    <w:p w14:paraId="45806B34" w14:textId="77777777" w:rsidR="00335D3D" w:rsidRPr="00F13F0E" w:rsidRDefault="00335D3D" w:rsidP="00335D3D">
      <w:pPr>
        <w:ind w:left="720" w:right="-329" w:hanging="720"/>
        <w:rPr>
          <w:bCs/>
        </w:rPr>
      </w:pPr>
    </w:p>
    <w:p w14:paraId="250CBA1C" w14:textId="2294014F" w:rsidR="00335D3D" w:rsidRDefault="00335D3D" w:rsidP="006D553C">
      <w:pPr>
        <w:ind w:left="720" w:right="-329" w:hanging="720"/>
        <w:rPr>
          <w:bCs/>
        </w:rPr>
      </w:pPr>
      <w:r>
        <w:rPr>
          <w:bCs/>
        </w:rPr>
        <w:t>2.2</w:t>
      </w:r>
      <w:r>
        <w:rPr>
          <w:bCs/>
        </w:rPr>
        <w:tab/>
      </w:r>
      <w:r w:rsidR="00590461">
        <w:rPr>
          <w:bCs/>
        </w:rPr>
        <w:t xml:space="preserve">As reported to </w:t>
      </w:r>
      <w:r>
        <w:rPr>
          <w:bCs/>
        </w:rPr>
        <w:t xml:space="preserve">the </w:t>
      </w:r>
      <w:r w:rsidR="00590461">
        <w:rPr>
          <w:bCs/>
        </w:rPr>
        <w:t xml:space="preserve">Panel on </w:t>
      </w:r>
      <w:r>
        <w:rPr>
          <w:bCs/>
        </w:rPr>
        <w:t>8</w:t>
      </w:r>
      <w:r w:rsidRPr="00335D3D">
        <w:rPr>
          <w:bCs/>
          <w:vertAlign w:val="superscript"/>
        </w:rPr>
        <w:t>th</w:t>
      </w:r>
      <w:r>
        <w:rPr>
          <w:bCs/>
        </w:rPr>
        <w:t xml:space="preserve"> November,</w:t>
      </w:r>
      <w:r w:rsidR="00590461">
        <w:rPr>
          <w:bCs/>
        </w:rPr>
        <w:t xml:space="preserve"> following a meeting of the Complaints Sub-Committee </w:t>
      </w:r>
      <w:r w:rsidR="00B75183">
        <w:rPr>
          <w:bCs/>
        </w:rPr>
        <w:t xml:space="preserve">on </w:t>
      </w:r>
      <w:r w:rsidR="00F13F0E">
        <w:rPr>
          <w:bCs/>
        </w:rPr>
        <w:t xml:space="preserve">2nd October </w:t>
      </w:r>
      <w:r w:rsidR="00175FA6">
        <w:rPr>
          <w:bCs/>
        </w:rPr>
        <w:t xml:space="preserve">and their decision not </w:t>
      </w:r>
      <w:r w:rsidR="00F13F0E">
        <w:rPr>
          <w:bCs/>
        </w:rPr>
        <w:t xml:space="preserve">to </w:t>
      </w:r>
      <w:r w:rsidR="00175FA6">
        <w:rPr>
          <w:bCs/>
        </w:rPr>
        <w:t xml:space="preserve">uphold the following complaint, </w:t>
      </w:r>
      <w:r w:rsidR="007F41C6">
        <w:rPr>
          <w:bCs/>
        </w:rPr>
        <w:t>the complainant</w:t>
      </w:r>
      <w:r>
        <w:rPr>
          <w:bCs/>
        </w:rPr>
        <w:t xml:space="preserve"> requested </w:t>
      </w:r>
      <w:r w:rsidR="000C0890" w:rsidRPr="000C0890">
        <w:rPr>
          <w:bCs/>
        </w:rPr>
        <w:t xml:space="preserve">a </w:t>
      </w:r>
      <w:r w:rsidR="00FB587D">
        <w:rPr>
          <w:bCs/>
        </w:rPr>
        <w:t xml:space="preserve">full Panel </w:t>
      </w:r>
      <w:r w:rsidR="000C0890" w:rsidRPr="000C0890">
        <w:rPr>
          <w:bCs/>
        </w:rPr>
        <w:t>review of the Complaints Sub-</w:t>
      </w:r>
      <w:r w:rsidR="002E5F97">
        <w:rPr>
          <w:bCs/>
        </w:rPr>
        <w:t>Committee’s</w:t>
      </w:r>
      <w:r w:rsidR="000C0890" w:rsidRPr="000C0890">
        <w:rPr>
          <w:bCs/>
        </w:rPr>
        <w:t xml:space="preserve"> handling of </w:t>
      </w:r>
      <w:r w:rsidR="002E5F97">
        <w:rPr>
          <w:bCs/>
        </w:rPr>
        <w:t>the</w:t>
      </w:r>
      <w:r w:rsidR="000C0890" w:rsidRPr="000C0890">
        <w:rPr>
          <w:bCs/>
        </w:rPr>
        <w:t xml:space="preserve"> complaint.</w:t>
      </w:r>
      <w:r w:rsidR="00EE008D">
        <w:rPr>
          <w:bCs/>
        </w:rPr>
        <w:t xml:space="preserve">  </w:t>
      </w:r>
      <w:r>
        <w:rPr>
          <w:bCs/>
        </w:rPr>
        <w:t>This was</w:t>
      </w:r>
      <w:r w:rsidR="002E5F97">
        <w:rPr>
          <w:bCs/>
        </w:rPr>
        <w:t xml:space="preserve"> undertaken by full Panel </w:t>
      </w:r>
      <w:r>
        <w:rPr>
          <w:bCs/>
        </w:rPr>
        <w:t xml:space="preserve">in closed session </w:t>
      </w:r>
      <w:r w:rsidR="002E5F97">
        <w:rPr>
          <w:bCs/>
        </w:rPr>
        <w:t xml:space="preserve">on </w:t>
      </w:r>
      <w:r>
        <w:rPr>
          <w:bCs/>
        </w:rPr>
        <w:t>8</w:t>
      </w:r>
      <w:r w:rsidRPr="00335D3D">
        <w:rPr>
          <w:bCs/>
          <w:vertAlign w:val="superscript"/>
        </w:rPr>
        <w:t>th</w:t>
      </w:r>
      <w:r>
        <w:rPr>
          <w:bCs/>
        </w:rPr>
        <w:t xml:space="preserve"> November </w:t>
      </w:r>
      <w:r w:rsidR="006D553C">
        <w:rPr>
          <w:bCs/>
        </w:rPr>
        <w:t>2024.</w:t>
      </w:r>
    </w:p>
    <w:p w14:paraId="34CD8A85" w14:textId="77777777" w:rsidR="00335D3D" w:rsidRDefault="00335D3D" w:rsidP="006D553C">
      <w:pPr>
        <w:ind w:left="720" w:right="-329" w:hanging="720"/>
        <w:rPr>
          <w:bCs/>
        </w:rPr>
      </w:pPr>
    </w:p>
    <w:p w14:paraId="24AE21A3" w14:textId="77777777" w:rsidR="00335D3D" w:rsidRDefault="00335D3D" w:rsidP="006D553C">
      <w:pPr>
        <w:ind w:left="720" w:right="-329" w:hanging="720"/>
        <w:rPr>
          <w:bCs/>
        </w:rPr>
      </w:pPr>
    </w:p>
    <w:p w14:paraId="313583B8" w14:textId="77777777" w:rsidR="00335D3D" w:rsidRDefault="000C0890" w:rsidP="006D553C">
      <w:pPr>
        <w:ind w:left="720" w:right="-329" w:hanging="720"/>
        <w:rPr>
          <w:bCs/>
        </w:rPr>
      </w:pPr>
      <w:r w:rsidRPr="000C0890">
        <w:rPr>
          <w:bCs/>
        </w:rPr>
        <w:t xml:space="preserve">  </w:t>
      </w:r>
    </w:p>
    <w:p w14:paraId="346AAAA6" w14:textId="77777777" w:rsidR="00335D3D" w:rsidRDefault="00335D3D" w:rsidP="006D553C">
      <w:pPr>
        <w:ind w:left="720" w:right="-329" w:hanging="720"/>
        <w:rPr>
          <w:bCs/>
        </w:rPr>
      </w:pPr>
    </w:p>
    <w:tbl>
      <w:tblPr>
        <w:tblW w:w="1003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41"/>
      </w:tblGrid>
      <w:tr w:rsidR="00335D3D" w:rsidRPr="00CB7B5B" w14:paraId="782257F9" w14:textId="77777777" w:rsidTr="00335D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41B0" w14:textId="77777777" w:rsidR="00335D3D" w:rsidRPr="00CB7B5B" w:rsidRDefault="00335D3D" w:rsidP="00D573B0">
            <w:pPr>
              <w:rPr>
                <w:b/>
                <w:bCs/>
              </w:rPr>
            </w:pPr>
            <w:r w:rsidRPr="00CB7B5B">
              <w:rPr>
                <w:b/>
                <w:bCs/>
              </w:rPr>
              <w:lastRenderedPageBreak/>
              <w:t>Substance of Complaint</w:t>
            </w:r>
          </w:p>
          <w:p w14:paraId="705EB608" w14:textId="77777777" w:rsidR="00335D3D" w:rsidRPr="00CB7B5B" w:rsidRDefault="00335D3D" w:rsidP="00D573B0">
            <w:pPr>
              <w:rPr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3A7A" w14:textId="77777777" w:rsidR="00335D3D" w:rsidRPr="00CB7B5B" w:rsidRDefault="00335D3D" w:rsidP="00D573B0">
            <w:pPr>
              <w:rPr>
                <w:b/>
                <w:bCs/>
              </w:rPr>
            </w:pPr>
            <w:r w:rsidRPr="00CB7B5B">
              <w:rPr>
                <w:b/>
                <w:bCs/>
              </w:rPr>
              <w:t>Status</w:t>
            </w:r>
          </w:p>
        </w:tc>
      </w:tr>
      <w:tr w:rsidR="00335D3D" w:rsidRPr="00DB670D" w14:paraId="1312B058" w14:textId="77777777" w:rsidTr="00335D3D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00FC" w14:textId="77777777" w:rsidR="00335D3D" w:rsidRPr="00DB670D" w:rsidRDefault="00335D3D" w:rsidP="00D573B0">
            <w:pPr>
              <w:rPr>
                <w:bCs/>
              </w:rPr>
            </w:pPr>
            <w:r w:rsidRPr="00DB670D">
              <w:rPr>
                <w:bCs/>
              </w:rPr>
              <w:t>That the Deputy Mayor for Policing and Crime has failed to exercise proper oversight of the Policing and Crime complaints process by failing to deal with [the complainant’s] complaint about West Yorkshire Police in accordance with due process.</w:t>
            </w:r>
          </w:p>
          <w:p w14:paraId="5A31A6E7" w14:textId="77777777" w:rsidR="00335D3D" w:rsidRPr="00DB670D" w:rsidRDefault="00335D3D" w:rsidP="00D573B0">
            <w:pPr>
              <w:ind w:left="720"/>
              <w:rPr>
                <w:bCs/>
              </w:rPr>
            </w:pPr>
          </w:p>
          <w:p w14:paraId="3DDCC05D" w14:textId="77777777" w:rsidR="00335D3D" w:rsidRPr="00DB670D" w:rsidRDefault="00335D3D" w:rsidP="00D573B0">
            <w:pPr>
              <w:rPr>
                <w:bCs/>
              </w:rPr>
            </w:pPr>
            <w:r w:rsidRPr="00DB670D">
              <w:rPr>
                <w:bCs/>
              </w:rPr>
              <w:t xml:space="preserve">That the Deputy Mayor for Policing and Crime falsely accused [the complainant] of harassment resulting in [the complainant’s] arrest by West Yorkshire Police.  </w:t>
            </w:r>
          </w:p>
          <w:p w14:paraId="58CC7E75" w14:textId="77777777" w:rsidR="00335D3D" w:rsidRPr="00DB670D" w:rsidRDefault="00335D3D" w:rsidP="00D573B0"/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4411" w14:textId="77777777" w:rsidR="00335D3D" w:rsidRPr="00DB670D" w:rsidRDefault="00335D3D" w:rsidP="00D573B0">
            <w:pPr>
              <w:pStyle w:val="ListParagraph"/>
              <w:numPr>
                <w:ilvl w:val="0"/>
                <w:numId w:val="29"/>
              </w:numPr>
            </w:pPr>
            <w:r w:rsidRPr="00DB670D">
              <w:t>Complaint formally recorded 21</w:t>
            </w:r>
            <w:r w:rsidRPr="00DB670D">
              <w:rPr>
                <w:vertAlign w:val="superscript"/>
              </w:rPr>
              <w:t>st</w:t>
            </w:r>
            <w:r w:rsidRPr="00DB670D">
              <w:t xml:space="preserve"> August 2024</w:t>
            </w:r>
          </w:p>
          <w:p w14:paraId="2F6C19CB" w14:textId="77777777" w:rsidR="00335D3D" w:rsidRPr="00DB670D" w:rsidRDefault="00335D3D" w:rsidP="00D573B0">
            <w:pPr>
              <w:pStyle w:val="ListParagraph"/>
              <w:numPr>
                <w:ilvl w:val="0"/>
                <w:numId w:val="29"/>
              </w:numPr>
            </w:pPr>
            <w:r w:rsidRPr="00DB670D">
              <w:t>The DMPC was contacted on 22</w:t>
            </w:r>
            <w:r w:rsidRPr="00DB670D">
              <w:rPr>
                <w:vertAlign w:val="superscript"/>
              </w:rPr>
              <w:t>nd</w:t>
            </w:r>
            <w:r w:rsidRPr="00DB670D">
              <w:t xml:space="preserve"> August 2024 and asked to provide relevant information regarding the complaint by 13 September 2024.</w:t>
            </w:r>
          </w:p>
          <w:p w14:paraId="4791831F" w14:textId="77777777" w:rsidR="00335D3D" w:rsidRDefault="00335D3D" w:rsidP="00335D3D">
            <w:pPr>
              <w:pStyle w:val="ListParagraph"/>
              <w:numPr>
                <w:ilvl w:val="0"/>
                <w:numId w:val="29"/>
              </w:numPr>
            </w:pPr>
            <w:r w:rsidRPr="00DB670D">
              <w:t xml:space="preserve">A Complaints </w:t>
            </w:r>
            <w:r>
              <w:t>Sub-Committee</w:t>
            </w:r>
            <w:r w:rsidRPr="00DB670D">
              <w:t xml:space="preserve"> met on 2</w:t>
            </w:r>
            <w:r w:rsidRPr="00DB670D">
              <w:rPr>
                <w:vertAlign w:val="superscript"/>
              </w:rPr>
              <w:t>nd</w:t>
            </w:r>
            <w:r w:rsidRPr="00DB670D">
              <w:t xml:space="preserve"> October</w:t>
            </w:r>
            <w:r>
              <w:t xml:space="preserve">.  </w:t>
            </w:r>
            <w:r w:rsidRPr="00976006">
              <w:t>Following full consideration of all the available information, it was agreed that the complaint should not be upheld.  Both the complainant and the DMPC have been informed of the outcome.</w:t>
            </w:r>
          </w:p>
          <w:p w14:paraId="61263D83" w14:textId="6D256CCC" w:rsidR="00335D3D" w:rsidRPr="00DB670D" w:rsidRDefault="00335D3D" w:rsidP="00335D3D">
            <w:pPr>
              <w:pStyle w:val="ListParagraph"/>
              <w:numPr>
                <w:ilvl w:val="0"/>
                <w:numId w:val="29"/>
              </w:numPr>
            </w:pPr>
            <w:r>
              <w:t>A full Panel Review was undertaken on 8</w:t>
            </w:r>
            <w:r w:rsidRPr="00335D3D">
              <w:rPr>
                <w:vertAlign w:val="superscript"/>
              </w:rPr>
              <w:t>th</w:t>
            </w:r>
            <w:r>
              <w:t xml:space="preserve"> November</w:t>
            </w:r>
          </w:p>
        </w:tc>
      </w:tr>
    </w:tbl>
    <w:p w14:paraId="5C43F2D6" w14:textId="1848857B" w:rsidR="00EE008D" w:rsidRDefault="00EE008D" w:rsidP="006D553C">
      <w:pPr>
        <w:ind w:left="720" w:right="-329" w:hanging="720"/>
        <w:rPr>
          <w:bCs/>
        </w:rPr>
      </w:pPr>
    </w:p>
    <w:p w14:paraId="72128E5B" w14:textId="77777777" w:rsidR="006B0F92" w:rsidRDefault="006B0F92" w:rsidP="006B0F92">
      <w:pPr>
        <w:ind w:right="-329"/>
        <w:rPr>
          <w:bCs/>
          <w:sz w:val="24"/>
          <w:szCs w:val="24"/>
        </w:rPr>
      </w:pPr>
    </w:p>
    <w:p w14:paraId="0F5CB182" w14:textId="77777777" w:rsidR="006B0F92" w:rsidRDefault="006B0F92" w:rsidP="006D553C">
      <w:pPr>
        <w:ind w:left="720" w:right="-329" w:hanging="720"/>
        <w:rPr>
          <w:bCs/>
        </w:rPr>
      </w:pPr>
    </w:p>
    <w:p w14:paraId="295E12D8" w14:textId="45BDF27F" w:rsidR="00EE008D" w:rsidRPr="006D553C" w:rsidRDefault="00EE008D" w:rsidP="00EE008D">
      <w:pPr>
        <w:ind w:left="720" w:right="-329" w:hanging="720"/>
        <w:rPr>
          <w:bCs/>
        </w:rPr>
      </w:pPr>
      <w:r>
        <w:rPr>
          <w:bCs/>
        </w:rPr>
        <w:t>2.</w:t>
      </w:r>
      <w:r w:rsidR="0060704F">
        <w:rPr>
          <w:bCs/>
        </w:rPr>
        <w:t>2</w:t>
      </w:r>
      <w:r>
        <w:rPr>
          <w:bCs/>
        </w:rPr>
        <w:tab/>
      </w:r>
      <w:r w:rsidRPr="006D553C">
        <w:rPr>
          <w:bCs/>
        </w:rPr>
        <w:t xml:space="preserve">The full Panel reviewed </w:t>
      </w:r>
      <w:r w:rsidR="007A281B">
        <w:rPr>
          <w:bCs/>
        </w:rPr>
        <w:t xml:space="preserve">all </w:t>
      </w:r>
      <w:r w:rsidRPr="006D553C">
        <w:rPr>
          <w:bCs/>
        </w:rPr>
        <w:t>the information considered by the Complaints Sub-Committee relating to the complaint and considered both the process that had been undertaken to arrive at their decision and the reasonableness of the decision reached.</w:t>
      </w:r>
    </w:p>
    <w:p w14:paraId="1905A1CB" w14:textId="77777777" w:rsidR="00EE008D" w:rsidRPr="006D553C" w:rsidRDefault="00EE008D" w:rsidP="00EE008D">
      <w:pPr>
        <w:ind w:left="720" w:right="-329" w:hanging="720"/>
        <w:rPr>
          <w:bCs/>
        </w:rPr>
      </w:pPr>
    </w:p>
    <w:p w14:paraId="081C9A81" w14:textId="77777777" w:rsidR="00EE008D" w:rsidRPr="006D553C" w:rsidRDefault="00EE008D" w:rsidP="00EE008D">
      <w:pPr>
        <w:ind w:left="720" w:right="-329"/>
        <w:rPr>
          <w:bCs/>
        </w:rPr>
      </w:pPr>
      <w:r w:rsidRPr="006D553C">
        <w:rPr>
          <w:bCs/>
        </w:rPr>
        <w:t>After considering all the information provided, the full Panel agreed that:</w:t>
      </w:r>
    </w:p>
    <w:p w14:paraId="4C5FEB5A" w14:textId="77777777" w:rsidR="00EE008D" w:rsidRPr="006D553C" w:rsidRDefault="00EE008D" w:rsidP="00EE008D">
      <w:pPr>
        <w:ind w:left="720" w:right="-329" w:hanging="720"/>
        <w:rPr>
          <w:bCs/>
        </w:rPr>
      </w:pPr>
    </w:p>
    <w:p w14:paraId="16D4C725" w14:textId="77777777" w:rsidR="00EE008D" w:rsidRDefault="00EE008D" w:rsidP="00EE008D">
      <w:pPr>
        <w:pStyle w:val="ListParagraph"/>
        <w:numPr>
          <w:ilvl w:val="0"/>
          <w:numId w:val="36"/>
        </w:numPr>
        <w:ind w:right="-329"/>
        <w:rPr>
          <w:bCs/>
        </w:rPr>
      </w:pPr>
      <w:r w:rsidRPr="006E79FF">
        <w:rPr>
          <w:bCs/>
        </w:rPr>
        <w:t xml:space="preserve">The Complaints Sub-Committee had followed the Panel’s complaints process correctly in seeking to address </w:t>
      </w:r>
      <w:r>
        <w:rPr>
          <w:bCs/>
        </w:rPr>
        <w:t>the</w:t>
      </w:r>
      <w:r w:rsidRPr="006E79FF">
        <w:rPr>
          <w:bCs/>
        </w:rPr>
        <w:t xml:space="preserve"> complaint.</w:t>
      </w:r>
    </w:p>
    <w:p w14:paraId="7BE89C0C" w14:textId="08638E54" w:rsidR="00EE008D" w:rsidRPr="00B169C3" w:rsidRDefault="00EE008D" w:rsidP="00EE008D">
      <w:pPr>
        <w:pStyle w:val="ListParagraph"/>
        <w:numPr>
          <w:ilvl w:val="0"/>
          <w:numId w:val="36"/>
        </w:numPr>
        <w:ind w:right="-329"/>
        <w:rPr>
          <w:bCs/>
        </w:rPr>
      </w:pPr>
      <w:r>
        <w:rPr>
          <w:bCs/>
        </w:rPr>
        <w:t xml:space="preserve">The </w:t>
      </w:r>
      <w:r w:rsidRPr="00FD3FFA">
        <w:rPr>
          <w:bCs/>
        </w:rPr>
        <w:t>findings reached by the Complaints Sub-</w:t>
      </w:r>
      <w:r w:rsidRPr="009109CB">
        <w:rPr>
          <w:bCs/>
        </w:rPr>
        <w:t>Committee</w:t>
      </w:r>
      <w:r w:rsidRPr="00FD3FFA">
        <w:rPr>
          <w:bCs/>
        </w:rPr>
        <w:t xml:space="preserve"> on </w:t>
      </w:r>
      <w:r w:rsidR="00FB587D">
        <w:rPr>
          <w:bCs/>
        </w:rPr>
        <w:t xml:space="preserve">both </w:t>
      </w:r>
      <w:r w:rsidRPr="00FD3FFA">
        <w:rPr>
          <w:bCs/>
        </w:rPr>
        <w:t xml:space="preserve">elements of </w:t>
      </w:r>
      <w:r w:rsidRPr="009109CB">
        <w:rPr>
          <w:bCs/>
        </w:rPr>
        <w:t>the</w:t>
      </w:r>
      <w:r w:rsidRPr="00FD3FFA">
        <w:rPr>
          <w:bCs/>
        </w:rPr>
        <w:t xml:space="preserve"> complaint were reasonable.</w:t>
      </w:r>
    </w:p>
    <w:p w14:paraId="1A938B92" w14:textId="77777777" w:rsidR="00EE008D" w:rsidRDefault="00EE008D" w:rsidP="009B7CF4">
      <w:pPr>
        <w:ind w:left="720" w:right="-329" w:hanging="720"/>
        <w:rPr>
          <w:bCs/>
        </w:rPr>
      </w:pPr>
    </w:p>
    <w:p w14:paraId="6702B66E" w14:textId="77777777" w:rsidR="00FF6CFE" w:rsidRPr="00AD3AAF" w:rsidRDefault="00FF6CFE" w:rsidP="00631733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74756C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5F39" w14:textId="77777777" w:rsidR="00A03841" w:rsidRDefault="00A03841" w:rsidP="00344495">
      <w:r>
        <w:separator/>
      </w:r>
    </w:p>
  </w:endnote>
  <w:endnote w:type="continuationSeparator" w:id="0">
    <w:p w14:paraId="0B05EE8F" w14:textId="77777777" w:rsidR="00A03841" w:rsidRDefault="00A03841" w:rsidP="00344495">
      <w:r>
        <w:continuationSeparator/>
      </w:r>
    </w:p>
  </w:endnote>
  <w:endnote w:type="continuationNotice" w:id="1">
    <w:p w14:paraId="1FC4796C" w14:textId="77777777" w:rsidR="00A03841" w:rsidRDefault="00A03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888238"/>
      <w:docPartObj>
        <w:docPartGallery w:val="Page Numbers (Bottom of Page)"/>
        <w:docPartUnique/>
      </w:docPartObj>
    </w:sdtPr>
    <w:sdtEndPr/>
    <w:sdtContent>
      <w:sdt>
        <w:sdtPr>
          <w:id w:val="-835923898"/>
          <w:docPartObj>
            <w:docPartGallery w:val="Page Numbers (Top of Page)"/>
            <w:docPartUnique/>
          </w:docPartObj>
        </w:sdtPr>
        <w:sdtEndPr/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0D6A3" w14:textId="77777777" w:rsidR="00A03841" w:rsidRDefault="00A03841" w:rsidP="00344495">
      <w:r>
        <w:separator/>
      </w:r>
    </w:p>
  </w:footnote>
  <w:footnote w:type="continuationSeparator" w:id="0">
    <w:p w14:paraId="334CB696" w14:textId="77777777" w:rsidR="00A03841" w:rsidRDefault="00A03841" w:rsidP="00344495">
      <w:r>
        <w:continuationSeparator/>
      </w:r>
    </w:p>
  </w:footnote>
  <w:footnote w:type="continuationNotice" w:id="1">
    <w:p w14:paraId="6739CCFB" w14:textId="77777777" w:rsidR="00A03841" w:rsidRDefault="00A03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4E10"/>
    <w:rsid w:val="003D231E"/>
    <w:rsid w:val="003E28CB"/>
    <w:rsid w:val="003E3543"/>
    <w:rsid w:val="003E360A"/>
    <w:rsid w:val="003E4E5D"/>
    <w:rsid w:val="003E66A4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719F"/>
    <w:rsid w:val="005079CA"/>
    <w:rsid w:val="00513B20"/>
    <w:rsid w:val="005152A4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7B46"/>
    <w:rsid w:val="00A63F0A"/>
    <w:rsid w:val="00A654AA"/>
    <w:rsid w:val="00A665A0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3AAF"/>
    <w:rsid w:val="00AD5008"/>
    <w:rsid w:val="00AD7459"/>
    <w:rsid w:val="00AE1B2C"/>
    <w:rsid w:val="00AE36D4"/>
    <w:rsid w:val="00AE5678"/>
    <w:rsid w:val="00AF0D18"/>
    <w:rsid w:val="00B0334F"/>
    <w:rsid w:val="00B10084"/>
    <w:rsid w:val="00B1046E"/>
    <w:rsid w:val="00B10B79"/>
    <w:rsid w:val="00B11FA4"/>
    <w:rsid w:val="00B169C3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Fiona Bernardo</cp:lastModifiedBy>
  <cp:revision>4</cp:revision>
  <cp:lastPrinted>2024-09-05T11:53:00Z</cp:lastPrinted>
  <dcterms:created xsi:type="dcterms:W3CDTF">2024-11-27T10:41:00Z</dcterms:created>
  <dcterms:modified xsi:type="dcterms:W3CDTF">2024-12-04T14:14:00Z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